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49" w:rsidRPr="00631649" w:rsidRDefault="00631649" w:rsidP="006316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64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604C4">
        <w:rPr>
          <w:rFonts w:ascii="Times New Roman" w:hAnsi="Times New Roman" w:cs="Times New Roman"/>
          <w:b/>
          <w:sz w:val="24"/>
          <w:szCs w:val="24"/>
        </w:rPr>
        <w:t>Б</w:t>
      </w:r>
      <w:r w:rsidRPr="00631649">
        <w:rPr>
          <w:rFonts w:ascii="Times New Roman" w:hAnsi="Times New Roman" w:cs="Times New Roman"/>
          <w:b/>
          <w:sz w:val="24"/>
          <w:szCs w:val="24"/>
        </w:rPr>
        <w:t xml:space="preserve"> «Проверка сметной документации»</w:t>
      </w:r>
    </w:p>
    <w:p w:rsidR="00631649" w:rsidRPr="00631649" w:rsidRDefault="00E604C4" w:rsidP="00631649">
      <w:pPr>
        <w:pStyle w:val="a3"/>
        <w:spacing w:after="0"/>
        <w:ind w:left="0" w:right="425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bookmarkStart w:id="0" w:name="_GoBack"/>
      <w:bookmarkEnd w:id="0"/>
      <w:r w:rsidR="00963587">
        <w:rPr>
          <w:rFonts w:ascii="Times New Roman" w:hAnsi="Times New Roman" w:cs="Times New Roman"/>
          <w:b/>
          <w:sz w:val="24"/>
          <w:szCs w:val="24"/>
        </w:rPr>
        <w:t>1</w:t>
      </w:r>
      <w:r w:rsidR="00631649" w:rsidRPr="00631649">
        <w:rPr>
          <w:rFonts w:ascii="Times New Roman" w:hAnsi="Times New Roman" w:cs="Times New Roman"/>
          <w:b/>
          <w:sz w:val="24"/>
          <w:szCs w:val="24"/>
        </w:rPr>
        <w:t xml:space="preserve"> «Отделочные работы»</w:t>
      </w:r>
    </w:p>
    <w:p w:rsidR="00631649" w:rsidRPr="00631649" w:rsidRDefault="00631649" w:rsidP="00631649">
      <w:pPr>
        <w:spacing w:after="0"/>
        <w:ind w:firstLine="426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31649" w:rsidRPr="00631649" w:rsidRDefault="00631649" w:rsidP="009635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649">
        <w:rPr>
          <w:rFonts w:ascii="Times New Roman" w:hAnsi="Times New Roman" w:cs="Times New Roman"/>
          <w:sz w:val="24"/>
          <w:szCs w:val="24"/>
        </w:rPr>
        <w:t xml:space="preserve">Проверить </w:t>
      </w:r>
      <w:r>
        <w:rPr>
          <w:rFonts w:ascii="Times New Roman" w:hAnsi="Times New Roman" w:cs="Times New Roman"/>
          <w:sz w:val="24"/>
          <w:szCs w:val="24"/>
        </w:rPr>
        <w:t>локальную смету, составленную</w:t>
      </w:r>
      <w:r w:rsidRPr="00631649">
        <w:rPr>
          <w:rFonts w:ascii="Times New Roman" w:hAnsi="Times New Roman" w:cs="Times New Roman"/>
          <w:sz w:val="24"/>
          <w:szCs w:val="24"/>
        </w:rPr>
        <w:t xml:space="preserve"> на основании ведомости объемов работ. Локальная смета составлена в объеме работ, перечисленном в </w:t>
      </w:r>
      <w:r>
        <w:rPr>
          <w:rFonts w:ascii="Times New Roman" w:hAnsi="Times New Roman" w:cs="Times New Roman"/>
          <w:sz w:val="24"/>
          <w:szCs w:val="24"/>
        </w:rPr>
        <w:t>Ведомости объемов работ</w:t>
      </w:r>
      <w:r w:rsidRPr="00631649">
        <w:rPr>
          <w:rFonts w:ascii="Times New Roman" w:hAnsi="Times New Roman" w:cs="Times New Roman"/>
          <w:sz w:val="24"/>
          <w:szCs w:val="24"/>
        </w:rPr>
        <w:t>, в ценах по состоянию на 01.01.2000г. с применением СНБ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649">
        <w:rPr>
          <w:rFonts w:ascii="Times New Roman" w:hAnsi="Times New Roman" w:cs="Times New Roman"/>
          <w:sz w:val="24"/>
          <w:szCs w:val="24"/>
        </w:rPr>
        <w:t>ФЕР-2001 в редакци</w:t>
      </w:r>
      <w:r w:rsidR="00ED6786">
        <w:rPr>
          <w:rFonts w:ascii="Times New Roman" w:hAnsi="Times New Roman" w:cs="Times New Roman"/>
          <w:sz w:val="24"/>
          <w:szCs w:val="24"/>
        </w:rPr>
        <w:t>и 2020 г. с учетом изменений 1-9</w:t>
      </w:r>
      <w:r w:rsidRPr="00631649">
        <w:rPr>
          <w:rFonts w:ascii="Times New Roman" w:hAnsi="Times New Roman" w:cs="Times New Roman"/>
          <w:sz w:val="24"/>
          <w:szCs w:val="24"/>
        </w:rPr>
        <w:t>.</w:t>
      </w:r>
    </w:p>
    <w:p w:rsidR="00ED6786" w:rsidRDefault="00ED6786" w:rsidP="00963587">
      <w:pPr>
        <w:autoSpaceDE w:val="0"/>
        <w:autoSpaceDN w:val="0"/>
        <w:adjustRightInd w:val="0"/>
        <w:spacing w:after="0"/>
        <w:ind w:right="28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2E31">
        <w:rPr>
          <w:rFonts w:ascii="Times New Roman" w:hAnsi="Times New Roman"/>
          <w:sz w:val="24"/>
          <w:szCs w:val="24"/>
        </w:rPr>
        <w:t>Нормативы накладных расходов определены в соответствии с Методикой 812/</w:t>
      </w:r>
      <w:proofErr w:type="spellStart"/>
      <w:r w:rsidRPr="00262E31">
        <w:rPr>
          <w:rFonts w:ascii="Times New Roman" w:hAnsi="Times New Roman"/>
          <w:sz w:val="24"/>
          <w:szCs w:val="24"/>
        </w:rPr>
        <w:t>пр</w:t>
      </w:r>
      <w:proofErr w:type="spellEnd"/>
      <w:r>
        <w:rPr>
          <w:rFonts w:ascii="Times New Roman" w:hAnsi="Times New Roman"/>
          <w:sz w:val="24"/>
          <w:szCs w:val="24"/>
        </w:rPr>
        <w:t xml:space="preserve"> со всеми изменениями и дополнениями</w:t>
      </w:r>
      <w:r w:rsidRPr="00262E31">
        <w:rPr>
          <w:rFonts w:ascii="Times New Roman" w:hAnsi="Times New Roman"/>
          <w:sz w:val="24"/>
          <w:szCs w:val="24"/>
        </w:rPr>
        <w:t xml:space="preserve">. Нормативы сметной прибыли определены в </w:t>
      </w:r>
      <w:r>
        <w:rPr>
          <w:rFonts w:ascii="Times New Roman" w:hAnsi="Times New Roman"/>
          <w:sz w:val="24"/>
          <w:szCs w:val="24"/>
        </w:rPr>
        <w:t>соответствии с Методикой 774/</w:t>
      </w:r>
      <w:proofErr w:type="spellStart"/>
      <w:r>
        <w:rPr>
          <w:rFonts w:ascii="Times New Roman" w:hAnsi="Times New Roman"/>
          <w:sz w:val="24"/>
          <w:szCs w:val="24"/>
        </w:rPr>
        <w:t>пр</w:t>
      </w:r>
      <w:proofErr w:type="spellEnd"/>
      <w:r>
        <w:rPr>
          <w:rFonts w:ascii="Times New Roman" w:hAnsi="Times New Roman"/>
          <w:sz w:val="24"/>
          <w:szCs w:val="24"/>
        </w:rPr>
        <w:t xml:space="preserve"> со всеми изменениями и дополнениями.</w:t>
      </w:r>
    </w:p>
    <w:p w:rsidR="00631649" w:rsidRPr="00631649" w:rsidRDefault="00631649" w:rsidP="0096358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649">
        <w:rPr>
          <w:rFonts w:ascii="Times New Roman" w:hAnsi="Times New Roman" w:cs="Times New Roman"/>
          <w:sz w:val="24"/>
          <w:szCs w:val="24"/>
        </w:rPr>
        <w:t>Замечания к локальной смете следует прописать в представленной локальной смете в графе «Примечание». Дать ссылку на обоснование ошибки там, где это возможно. Замечание «исключить» или «заменить» не оценивается, должно быть обоснование, почему исключить или заменить со ссылкой на пунк</w:t>
      </w:r>
      <w:r w:rsidR="00ED6786">
        <w:rPr>
          <w:rFonts w:ascii="Times New Roman" w:hAnsi="Times New Roman" w:cs="Times New Roman"/>
          <w:sz w:val="24"/>
          <w:szCs w:val="24"/>
        </w:rPr>
        <w:t>т Технических частей сборников,</w:t>
      </w:r>
      <w:r w:rsidRPr="00631649">
        <w:rPr>
          <w:rFonts w:ascii="Times New Roman" w:hAnsi="Times New Roman" w:cs="Times New Roman"/>
          <w:sz w:val="24"/>
          <w:szCs w:val="24"/>
        </w:rPr>
        <w:t xml:space="preserve"> Методических рекомендация или иных нормативных документов.</w:t>
      </w:r>
    </w:p>
    <w:p w:rsidR="00ED6786" w:rsidRDefault="00ED6786" w:rsidP="00963587">
      <w:pPr>
        <w:autoSpaceDE w:val="0"/>
        <w:autoSpaceDN w:val="0"/>
        <w:adjustRightInd w:val="0"/>
        <w:spacing w:after="0"/>
        <w:ind w:right="28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2E31">
        <w:rPr>
          <w:rFonts w:ascii="Times New Roman" w:hAnsi="Times New Roman"/>
          <w:sz w:val="24"/>
          <w:szCs w:val="24"/>
        </w:rPr>
        <w:t xml:space="preserve">Объект – </w:t>
      </w:r>
      <w:r>
        <w:rPr>
          <w:rFonts w:ascii="Times New Roman" w:hAnsi="Times New Roman"/>
          <w:sz w:val="24"/>
          <w:szCs w:val="24"/>
        </w:rPr>
        <w:t>Строительство административно-бытового корпуса</w:t>
      </w:r>
      <w:r w:rsidRPr="00262E31">
        <w:rPr>
          <w:rFonts w:ascii="Times New Roman" w:hAnsi="Times New Roman"/>
          <w:sz w:val="24"/>
          <w:szCs w:val="24"/>
        </w:rPr>
        <w:t xml:space="preserve">. </w:t>
      </w:r>
    </w:p>
    <w:p w:rsidR="00ED6786" w:rsidRDefault="00ED6786" w:rsidP="00963587">
      <w:pPr>
        <w:autoSpaceDE w:val="0"/>
        <w:autoSpaceDN w:val="0"/>
        <w:adjustRightInd w:val="0"/>
        <w:spacing w:after="0"/>
        <w:ind w:right="28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2E31">
        <w:rPr>
          <w:rFonts w:ascii="Times New Roman" w:hAnsi="Times New Roman"/>
          <w:sz w:val="24"/>
          <w:szCs w:val="24"/>
        </w:rPr>
        <w:t xml:space="preserve">Новое строительство в </w:t>
      </w:r>
      <w:r>
        <w:rPr>
          <w:rFonts w:ascii="Times New Roman" w:hAnsi="Times New Roman"/>
          <w:sz w:val="24"/>
          <w:szCs w:val="24"/>
        </w:rPr>
        <w:t>Мурманской</w:t>
      </w:r>
      <w:r w:rsidRPr="00262E31">
        <w:rPr>
          <w:rFonts w:ascii="Times New Roman" w:hAnsi="Times New Roman"/>
          <w:sz w:val="24"/>
          <w:szCs w:val="24"/>
        </w:rPr>
        <w:t xml:space="preserve"> области.</w:t>
      </w:r>
    </w:p>
    <w:p w:rsidR="00ED6786" w:rsidRDefault="00ED6786" w:rsidP="00963587">
      <w:pPr>
        <w:autoSpaceDE w:val="0"/>
        <w:autoSpaceDN w:val="0"/>
        <w:adjustRightInd w:val="0"/>
        <w:spacing w:after="0"/>
        <w:ind w:right="281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Производство работ осуществляется на территории действующего предприятия с движением по территории технологического транспорта.</w:t>
      </w:r>
    </w:p>
    <w:p w:rsidR="00ED6786" w:rsidRPr="00262E31" w:rsidRDefault="00ED6786" w:rsidP="00963587">
      <w:pPr>
        <w:pStyle w:val="a3"/>
        <w:spacing w:after="0"/>
        <w:ind w:left="0" w:right="281" w:firstLine="567"/>
        <w:jc w:val="both"/>
        <w:rPr>
          <w:rFonts w:ascii="Times New Roman" w:hAnsi="Times New Roman"/>
          <w:sz w:val="24"/>
          <w:szCs w:val="24"/>
        </w:rPr>
      </w:pPr>
      <w:r w:rsidRPr="00262E31">
        <w:rPr>
          <w:rFonts w:ascii="Times New Roman" w:hAnsi="Times New Roman"/>
          <w:sz w:val="24"/>
          <w:szCs w:val="24"/>
        </w:rPr>
        <w:t xml:space="preserve">Считать, что рабочая документация выполнена корректно. </w:t>
      </w:r>
    </w:p>
    <w:p w:rsidR="00ED6786" w:rsidRPr="00262E31" w:rsidRDefault="00ED6786" w:rsidP="00963587">
      <w:pPr>
        <w:pStyle w:val="a3"/>
        <w:spacing w:after="0"/>
        <w:ind w:left="0" w:right="281" w:firstLine="567"/>
        <w:jc w:val="both"/>
        <w:rPr>
          <w:rFonts w:ascii="Times New Roman" w:hAnsi="Times New Roman"/>
          <w:sz w:val="24"/>
          <w:szCs w:val="24"/>
        </w:rPr>
      </w:pPr>
      <w:r w:rsidRPr="00262E31">
        <w:rPr>
          <w:rFonts w:ascii="Times New Roman" w:hAnsi="Times New Roman"/>
          <w:sz w:val="24"/>
          <w:szCs w:val="24"/>
        </w:rPr>
        <w:t xml:space="preserve">Замечания к </w:t>
      </w:r>
      <w:r>
        <w:rPr>
          <w:rFonts w:ascii="Times New Roman" w:hAnsi="Times New Roman"/>
          <w:sz w:val="24"/>
          <w:szCs w:val="24"/>
        </w:rPr>
        <w:t xml:space="preserve">локальной </w:t>
      </w:r>
      <w:r w:rsidRPr="00262E31">
        <w:rPr>
          <w:rFonts w:ascii="Times New Roman" w:hAnsi="Times New Roman"/>
          <w:sz w:val="24"/>
          <w:szCs w:val="24"/>
        </w:rPr>
        <w:t xml:space="preserve">смете </w:t>
      </w:r>
      <w:r>
        <w:rPr>
          <w:rFonts w:ascii="Times New Roman" w:hAnsi="Times New Roman"/>
          <w:sz w:val="24"/>
          <w:szCs w:val="24"/>
        </w:rPr>
        <w:t>необходимо указать</w:t>
      </w:r>
      <w:r w:rsidRPr="00262E31">
        <w:rPr>
          <w:rFonts w:ascii="Times New Roman" w:hAnsi="Times New Roman"/>
          <w:sz w:val="24"/>
          <w:szCs w:val="24"/>
        </w:rPr>
        <w:t xml:space="preserve"> в графе «Примечание».</w:t>
      </w:r>
      <w:r w:rsidRPr="00515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Кроме того, необходимо указать </w:t>
      </w:r>
      <w:r w:rsidRPr="00262E31">
        <w:rPr>
          <w:rFonts w:ascii="Times New Roman" w:hAnsi="Times New Roman"/>
          <w:sz w:val="24"/>
          <w:szCs w:val="24"/>
        </w:rPr>
        <w:t>ссылк</w:t>
      </w:r>
      <w:r>
        <w:rPr>
          <w:rFonts w:ascii="Times New Roman" w:hAnsi="Times New Roman"/>
          <w:sz w:val="24"/>
          <w:szCs w:val="24"/>
        </w:rPr>
        <w:t>и</w:t>
      </w:r>
      <w:r w:rsidRPr="00262E31">
        <w:rPr>
          <w:rFonts w:ascii="Times New Roman" w:hAnsi="Times New Roman"/>
          <w:sz w:val="24"/>
          <w:szCs w:val="24"/>
        </w:rPr>
        <w:t xml:space="preserve"> на обоснование ошибки там, где это возможно (пункты методических документов, технических частей сборников, спецификаций и т.д.). При некорректном</w:t>
      </w:r>
      <w:r>
        <w:rPr>
          <w:rFonts w:ascii="Times New Roman" w:hAnsi="Times New Roman"/>
          <w:sz w:val="24"/>
          <w:szCs w:val="24"/>
        </w:rPr>
        <w:t xml:space="preserve"> применении расценки предложить верный </w:t>
      </w:r>
      <w:r w:rsidRPr="00262E31">
        <w:rPr>
          <w:rFonts w:ascii="Times New Roman" w:hAnsi="Times New Roman"/>
          <w:sz w:val="24"/>
          <w:szCs w:val="24"/>
        </w:rPr>
        <w:t>вариант.</w:t>
      </w:r>
    </w:p>
    <w:p w:rsidR="00631649" w:rsidRPr="00631649" w:rsidRDefault="00631649" w:rsidP="0063164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286812" w:rsidRDefault="0028681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824"/>
        <w:gridCol w:w="2607"/>
        <w:gridCol w:w="526"/>
        <w:gridCol w:w="1258"/>
        <w:gridCol w:w="2130"/>
        <w:gridCol w:w="1360"/>
      </w:tblGrid>
      <w:tr w:rsidR="00286812" w:rsidRPr="00286812" w:rsidTr="00286812">
        <w:trPr>
          <w:trHeight w:val="300"/>
        </w:trPr>
        <w:tc>
          <w:tcPr>
            <w:tcW w:w="9345" w:type="dxa"/>
            <w:gridSpan w:val="7"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ВЕДОМОСТЬ ОБЪЕМОВ РАБОТ</w:t>
            </w:r>
          </w:p>
        </w:tc>
      </w:tr>
      <w:tr w:rsidR="00286812" w:rsidRPr="00286812" w:rsidTr="00286812">
        <w:trPr>
          <w:trHeight w:val="1275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Ссылка на чертежи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Объем работ по рабочей документации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Формула подсчета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86812" w:rsidRPr="00286812" w:rsidTr="00286812">
        <w:trPr>
          <w:trHeight w:val="300"/>
        </w:trPr>
        <w:tc>
          <w:tcPr>
            <w:tcW w:w="711" w:type="dxa"/>
            <w:noWrap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3" w:type="dxa"/>
            <w:noWrap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4" w:type="dxa"/>
            <w:noWrap/>
            <w:hideMark/>
          </w:tcPr>
          <w:p w:rsidR="00286812" w:rsidRPr="00286812" w:rsidRDefault="00286812" w:rsidP="0028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86812" w:rsidRPr="00286812" w:rsidTr="00286812">
        <w:trPr>
          <w:trHeight w:val="300"/>
        </w:trPr>
        <w:tc>
          <w:tcPr>
            <w:tcW w:w="9345" w:type="dxa"/>
            <w:gridSpan w:val="7"/>
            <w:noWrap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1. Внутренняя отделка помещений (высота этажа 3,30м)</w:t>
            </w:r>
          </w:p>
        </w:tc>
      </w:tr>
      <w:tr w:rsidR="00286812" w:rsidRPr="00286812" w:rsidTr="00286812">
        <w:trPr>
          <w:trHeight w:val="6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Улучшенная окраска потолков (силикатная краска в 2 слоя ГОСТ 18958-73)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615,1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812" w:rsidRPr="00286812" w:rsidTr="00286812">
        <w:trPr>
          <w:trHeight w:val="3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1.2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Улучшенная штукатурка 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812" w:rsidRPr="00286812" w:rsidTr="00286812">
        <w:trPr>
          <w:trHeight w:val="6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1.2.1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Кирпичные стены и перегородки из блоков ячеистого бетона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3792,24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812" w:rsidRPr="00286812" w:rsidTr="00286812">
        <w:trPr>
          <w:trHeight w:val="3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1.2.2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Откосы оконных проемов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812" w:rsidRPr="00286812" w:rsidTr="00286812">
        <w:trPr>
          <w:trHeight w:val="6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1.3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Улучшенная окраска стен и перегородок (краска ВД-ВА-27А светло-бежевая)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3792,24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812" w:rsidRPr="00286812" w:rsidTr="00286812">
        <w:trPr>
          <w:trHeight w:val="6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1.4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Улучшенная окраска откосов оконных проемов (краска ВД-ВА-224 белая)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812" w:rsidRPr="00286812" w:rsidTr="00286812">
        <w:trPr>
          <w:trHeight w:val="12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1.5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Облицовка стен и перегородок керамической глазурованной  плиткой на клее из сухих смесей (плитка керамическая цветная с затиркой швов по ГОСТ 13996-2019)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638,1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до потолка с составлением панно из 12-ти эл-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</w:p>
        </w:tc>
      </w:tr>
      <w:tr w:rsidR="00286812" w:rsidRPr="00286812" w:rsidTr="00286812">
        <w:trPr>
          <w:trHeight w:val="12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Подвесной потолок (подвесная потолочная система с заполнением металлическими панелями с перфорацией, ЛАП 06-12П)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627,5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48,26+86,49+286,4+206,33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расход алюминия 1,8кг/ 1 м2 потолка</w:t>
            </w:r>
          </w:p>
        </w:tc>
      </w:tr>
      <w:tr w:rsidR="00286812" w:rsidRPr="00286812" w:rsidTr="00286812">
        <w:trPr>
          <w:trHeight w:val="300"/>
        </w:trPr>
        <w:tc>
          <w:tcPr>
            <w:tcW w:w="9345" w:type="dxa"/>
            <w:gridSpan w:val="7"/>
            <w:noWrap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 Наружная отделка фасада</w:t>
            </w:r>
          </w:p>
        </w:tc>
      </w:tr>
      <w:tr w:rsidR="00286812" w:rsidRPr="00286812" w:rsidTr="00286812">
        <w:trPr>
          <w:trHeight w:val="6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2.1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Навесной вентилируемый фасад с воздушным зазором наружных стен: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vMerge w:val="restart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Лента двухсторонняя-1,23 кг</w:t>
            </w:r>
            <w:r w:rsidRPr="00286812">
              <w:rPr>
                <w:rFonts w:ascii="Times New Roman" w:hAnsi="Times New Roman" w:cs="Times New Roman"/>
                <w:sz w:val="20"/>
                <w:szCs w:val="20"/>
              </w:rPr>
              <w:br/>
              <w:t>Дюбель-гвозди -27шт</w:t>
            </w:r>
            <w:r w:rsidRPr="00286812">
              <w:rPr>
                <w:rFonts w:ascii="Times New Roman" w:hAnsi="Times New Roman" w:cs="Times New Roman"/>
                <w:sz w:val="20"/>
                <w:szCs w:val="20"/>
              </w:rPr>
              <w:br/>
              <w:t>Фасадная панель поставляется в пакетах</w:t>
            </w:r>
          </w:p>
        </w:tc>
      </w:tr>
      <w:tr w:rsidR="00286812" w:rsidRPr="00286812" w:rsidTr="00286812">
        <w:trPr>
          <w:trHeight w:val="9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2.1.1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фасадная панель из оцинкованной стали с покрытием полиэстер,  с устройством навесной фасадной системы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vMerge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812" w:rsidRPr="00286812" w:rsidTr="00286812">
        <w:trPr>
          <w:trHeight w:val="6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2.1.2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пленка пароизоляционная 3-х 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слойная</w:t>
            </w:r>
            <w:proofErr w:type="spell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полиэтиленовая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vMerge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812" w:rsidRPr="00286812" w:rsidTr="00286812">
        <w:trPr>
          <w:trHeight w:val="9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2.1.3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утеплитель – плиты из минеральной ваты, для вентилируемых фасадов, на основе базальтового </w:t>
            </w:r>
            <w:r w:rsidRPr="0028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волокна, толщин ρ=90кг/м3- 100мм  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vMerge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812" w:rsidRPr="00286812" w:rsidTr="00286812">
        <w:trPr>
          <w:trHeight w:val="15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Обрамление оконных проемов из стали с полимерным покрытием, 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шир</w:t>
            </w:r>
            <w:proofErr w:type="spell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. 250мм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322,8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ОК1=40шт (2,88м2); ОК2=4 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(1,6м2); ОК3=1 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(3,24м2)</w:t>
            </w:r>
          </w:p>
        </w:tc>
      </w:tr>
      <w:tr w:rsidR="00286812" w:rsidRPr="00286812" w:rsidTr="00286812">
        <w:trPr>
          <w:trHeight w:val="6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2.3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Наружные инвентарные леса размером 2х2х8 (h) м 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для облицовки фасада</w:t>
            </w:r>
          </w:p>
        </w:tc>
      </w:tr>
      <w:tr w:rsidR="00286812" w:rsidRPr="00286812" w:rsidTr="00286812">
        <w:trPr>
          <w:trHeight w:val="300"/>
        </w:trPr>
        <w:tc>
          <w:tcPr>
            <w:tcW w:w="9345" w:type="dxa"/>
            <w:gridSpan w:val="7"/>
            <w:noWrap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3. Цоколь(h=600 мм)</w:t>
            </w:r>
          </w:p>
        </w:tc>
      </w:tr>
      <w:tr w:rsidR="00286812" w:rsidRPr="00286812" w:rsidTr="00286812">
        <w:trPr>
          <w:trHeight w:val="9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3.1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Утепление 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экструзионным</w:t>
            </w:r>
            <w:proofErr w:type="spell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пенополистиролом</w:t>
            </w:r>
            <w:proofErr w:type="spell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ТЕХНОНИКОЛЬ XPS CARBON 30-280 Стандарт </w:t>
            </w:r>
            <w:proofErr w:type="gram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на клею</w:t>
            </w:r>
            <w:proofErr w:type="gram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, толщ. 100 мм</w:t>
            </w:r>
          </w:p>
        </w:tc>
        <w:tc>
          <w:tcPr>
            <w:tcW w:w="646" w:type="dxa"/>
            <w:vMerge w:val="restart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26" w:type="dxa"/>
            <w:vMerge w:val="restart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121,65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812" w:rsidRPr="00286812" w:rsidTr="00286812">
        <w:trPr>
          <w:trHeight w:val="15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Дюбельный</w:t>
            </w:r>
            <w:proofErr w:type="spell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комплект для крепления 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пенополистирола</w:t>
            </w:r>
            <w:proofErr w:type="spell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 (тарельчатые с металлическим гвоздем и термоголовкой, диаметр 8 мм, длина 130 мм) 4шт/м2 (всего 487 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6" w:type="dxa"/>
            <w:vMerge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812" w:rsidRPr="00286812" w:rsidTr="00286812">
        <w:trPr>
          <w:trHeight w:val="1200"/>
        </w:trPr>
        <w:tc>
          <w:tcPr>
            <w:tcW w:w="711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3.3</w:t>
            </w:r>
          </w:p>
        </w:tc>
        <w:tc>
          <w:tcPr>
            <w:tcW w:w="747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3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Улучшенная цементно-песчаная штукатурка (30 мм) по сетке плетеной с квадратными ячейками № 5 оцинкованной, с пропиткой </w:t>
            </w:r>
            <w:proofErr w:type="spellStart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гидрофобизирующей</w:t>
            </w:r>
            <w:proofErr w:type="spellEnd"/>
            <w:r w:rsidRPr="00286812">
              <w:rPr>
                <w:rFonts w:ascii="Times New Roman" w:hAnsi="Times New Roman" w:cs="Times New Roman"/>
                <w:sz w:val="20"/>
                <w:szCs w:val="20"/>
              </w:rPr>
              <w:t xml:space="preserve"> жидкостью</w:t>
            </w:r>
          </w:p>
        </w:tc>
        <w:tc>
          <w:tcPr>
            <w:tcW w:w="64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26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121,65</w:t>
            </w:r>
          </w:p>
        </w:tc>
        <w:tc>
          <w:tcPr>
            <w:tcW w:w="1888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hideMark/>
          </w:tcPr>
          <w:p w:rsidR="00286812" w:rsidRPr="00286812" w:rsidRDefault="00286812" w:rsidP="0028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812">
              <w:rPr>
                <w:rFonts w:ascii="Times New Roman" w:hAnsi="Times New Roman" w:cs="Times New Roman"/>
                <w:sz w:val="20"/>
                <w:szCs w:val="20"/>
              </w:rPr>
              <w:t>крепление сетки гвоздями</w:t>
            </w:r>
          </w:p>
        </w:tc>
      </w:tr>
    </w:tbl>
    <w:p w:rsidR="00564336" w:rsidRPr="00631649" w:rsidRDefault="00564336" w:rsidP="0063164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4336" w:rsidRPr="0063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49"/>
    <w:rsid w:val="00286812"/>
    <w:rsid w:val="00564336"/>
    <w:rsid w:val="00631649"/>
    <w:rsid w:val="00720629"/>
    <w:rsid w:val="00963587"/>
    <w:rsid w:val="00E36822"/>
    <w:rsid w:val="00E604C4"/>
    <w:rsid w:val="00ED6786"/>
    <w:rsid w:val="00F0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C1F1"/>
  <w15:chartTrackingRefBased/>
  <w15:docId w15:val="{2A2C229A-E44E-4703-A8D2-14C6345E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49"/>
    <w:pPr>
      <w:ind w:left="720"/>
      <w:contextualSpacing/>
    </w:pPr>
  </w:style>
  <w:style w:type="table" w:styleId="a4">
    <w:name w:val="Table Grid"/>
    <w:basedOn w:val="a1"/>
    <w:uiPriority w:val="39"/>
    <w:rsid w:val="00286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2022-10-27T16:34:00Z</dcterms:created>
  <dcterms:modified xsi:type="dcterms:W3CDTF">2025-09-30T22:04:00Z</dcterms:modified>
</cp:coreProperties>
</file>